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765"/>
        <w:gridCol w:w="7322"/>
      </w:tblGrid>
      <w:tr w:rsidR="00E75EBF" w:rsidRPr="00E75EBF" w:rsidTr="00E75EBF">
        <w:tc>
          <w:tcPr>
            <w:tcW w:w="10207" w:type="dxa"/>
            <w:gridSpan w:val="2"/>
          </w:tcPr>
          <w:p w:rsidR="00E75EBF" w:rsidRPr="00E75EBF" w:rsidRDefault="00E75EBF" w:rsidP="00550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3244736"/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E75EBF" w:rsidRPr="00E75EBF" w:rsidTr="00E75EBF">
        <w:tc>
          <w:tcPr>
            <w:tcW w:w="2789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418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геномной ДНК из цельной крови с помощью набора фирмы 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xcell 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iotech</w:t>
            </w:r>
          </w:p>
        </w:tc>
      </w:tr>
      <w:tr w:rsidR="00E75EBF" w:rsidRPr="00E75EBF" w:rsidTr="00E75EBF">
        <w:tc>
          <w:tcPr>
            <w:tcW w:w="2789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418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Данная стандартная операционная процедура описывает правила проведения полимеразной цепной реакции для амплификации ДНК образцов.</w:t>
            </w:r>
          </w:p>
        </w:tc>
      </w:tr>
      <w:tr w:rsidR="00E75EBF" w:rsidRPr="00E75EBF" w:rsidTr="00E75EBF">
        <w:tc>
          <w:tcPr>
            <w:tcW w:w="2789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418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E75EBF" w:rsidRPr="00E75EBF" w:rsidTr="00E75EBF">
        <w:tc>
          <w:tcPr>
            <w:tcW w:w="2789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418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E75EBF" w:rsidRPr="00E75EBF" w:rsidTr="00E75EBF">
        <w:tc>
          <w:tcPr>
            <w:tcW w:w="2789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418" w:type="dxa"/>
          </w:tcPr>
          <w:p w:rsidR="00E75EBF" w:rsidRPr="00E75EBF" w:rsidRDefault="00E75EBF" w:rsidP="00550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E75EBF" w:rsidRPr="00D37AE6" w:rsidRDefault="00E75EBF" w:rsidP="00E2302F">
      <w:pPr>
        <w:pStyle w:val="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" w:name="_Toc501113737"/>
      <w:bookmarkEnd w:id="0"/>
      <w:r w:rsidRPr="00D37AE6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Протокол процесса выделения геномной ДНК из цельной крови с помощью набора фирмы </w:t>
      </w:r>
      <w:r w:rsidR="00E2302F" w:rsidRPr="00D37AE6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>NewTerex</w:t>
      </w:r>
      <w:r w:rsidRPr="00D37AE6"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  <w:bookmarkEnd w:id="1"/>
    </w:p>
    <w:p w:rsidR="00E75EBF" w:rsidRPr="00E75EBF" w:rsidRDefault="00E75EBF" w:rsidP="00E75EBF">
      <w:pPr>
        <w:rPr>
          <w:rFonts w:ascii="Times New Roman" w:hAnsi="Times New Roman" w:cs="Times New Roman"/>
          <w:sz w:val="20"/>
          <w:szCs w:val="20"/>
        </w:rPr>
      </w:pPr>
    </w:p>
    <w:p w:rsidR="00E75EBF" w:rsidRDefault="00E75EBF" w:rsidP="00D37AE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5EBF">
        <w:rPr>
          <w:rFonts w:ascii="Times New Roman" w:hAnsi="Times New Roman" w:cs="Times New Roman"/>
          <w:sz w:val="20"/>
          <w:szCs w:val="20"/>
        </w:rPr>
        <w:t xml:space="preserve">Для выделения геномной ДНК из цельной крови используется набор для выделения фирмы </w:t>
      </w:r>
      <w:r w:rsidR="00E2302F">
        <w:rPr>
          <w:rFonts w:ascii="Times New Roman" w:hAnsi="Times New Roman" w:cs="Times New Roman"/>
          <w:sz w:val="20"/>
          <w:szCs w:val="20"/>
          <w:lang w:val="en-US"/>
        </w:rPr>
        <w:t>NewTerex</w:t>
      </w:r>
      <w:r w:rsidRPr="00E75EBF">
        <w:rPr>
          <w:rFonts w:ascii="Times New Roman" w:hAnsi="Times New Roman" w:cs="Times New Roman"/>
          <w:sz w:val="20"/>
          <w:szCs w:val="20"/>
        </w:rPr>
        <w:t>. В набор входят флаконы с реагентом для выделения ДНК из биологического материала с целью последующего хранения или анализа методом ПЦР. Выделение ДНК проводится в ламинарном боксе БАВ-01 – «Ламинар – С».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423"/>
        <w:gridCol w:w="6359"/>
        <w:gridCol w:w="1275"/>
        <w:gridCol w:w="2030"/>
      </w:tblGrid>
      <w:tr w:rsidR="00E75EBF" w:rsidTr="001166C0">
        <w:tc>
          <w:tcPr>
            <w:tcW w:w="424" w:type="dxa"/>
          </w:tcPr>
          <w:p w:rsidR="00E75EBF" w:rsidRPr="009B0CC6" w:rsidRDefault="00E75EBF" w:rsidP="00E75E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83" w:type="dxa"/>
          </w:tcPr>
          <w:p w:rsidR="00E75EBF" w:rsidRPr="009B0CC6" w:rsidRDefault="00E75EBF" w:rsidP="00E75E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276" w:type="dxa"/>
          </w:tcPr>
          <w:p w:rsidR="00E75EBF" w:rsidRPr="009B0CC6" w:rsidRDefault="00E75EBF" w:rsidP="00E75E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030" w:type="dxa"/>
          </w:tcPr>
          <w:p w:rsidR="00E75EBF" w:rsidRPr="009B0CC6" w:rsidRDefault="00E75EBF" w:rsidP="00E75E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Надеть соответствующую форму одежды (халат лабораторный, хирургический костюм, тапочки лабораторные). Провести гигиеническую антисептику рук и надеть перчатки, предварительно проверив их на целостность.</w:t>
            </w:r>
          </w:p>
        </w:tc>
        <w:tc>
          <w:tcPr>
            <w:tcW w:w="1276" w:type="dxa"/>
            <w:vMerge w:val="restart"/>
          </w:tcPr>
          <w:p w:rsidR="00E2302F" w:rsidRPr="0080130C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030" w:type="dxa"/>
            <w:vMerge w:val="restart"/>
          </w:tcPr>
          <w:p w:rsidR="00E2302F" w:rsidRPr="009B0CC6" w:rsidRDefault="00E2302F" w:rsidP="00E23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Халат лабораторный, хирургический костюм, тапочки лабораторные, нитриловые перчатки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Включить термостат в сеть с помощью сетевой вилки. Включить переключатель «СЕТЬ» (находится на панели снизу термостата) при этом на цифровом табло панели управления, находящейся на двери термостата высвечивается текущая температура в камере термостата. Нажатием кнопки устанавливаем температуру 65 С.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30" w:type="dxa"/>
            <w:vMerge w:val="restart"/>
          </w:tcPr>
          <w:p w:rsidR="00155BFB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2F" w:rsidRP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Штатив, низкотемпературный холодильник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пластиковый штатив для хранения пробирок и подойти к низкотемпературному морозильнику (номер 1). Открыть нужный отсек морозильника (</w:t>
            </w:r>
            <w:r w:rsidRPr="00E75EBF">
              <w:rPr>
                <w:rFonts w:ascii="Times New Roman" w:hAnsi="Times New Roman" w:cs="Times New Roman"/>
                <w:i/>
                <w:sz w:val="20"/>
                <w:szCs w:val="20"/>
              </w:rPr>
              <w:t>нельзя держать морозильник открытым более трех минут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) и взять необходимые пробирки с кровью. Разместите их в штативе слева направо, начиная со второго ряда.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Штатив с вакуумными пробирками замороженной крови поставить на рабочий стол слева от себя и оставить их на 60 мин при комнатной температуре до полного размораживания крови. Не допускается ставить пробирки с кровью рядом с нагревательными приборами, под прямыми лучами солнца и при включенной 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-лампе!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Записать дату и номера пробирок с кровью в Журнал выделения ДНК.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583" w:type="dxa"/>
          </w:tcPr>
          <w:p w:rsidR="00E2302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Включить ламинарный бокс БАВ-01 –«Ламинар-С». 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аминарный бокс БАВ-01 –«Ламинар-С»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стерильного пинцета из зип пакета вынуть микроцентрифужные пробирки объемом 1,5 мл с крышкой (типа 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) и расставить их в пластиковый штатив для хранения пробирок объемом 1,5 – 2 мл слева направо, начиная со второго ряда.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Пинцет, пробирки типа эппендорф 1,5 – 2,0 мл</w:t>
            </w: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BFB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Перманентный маркер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Промаркировать микроцентрифужные пробирки объемом 1,5 мл с крышкой (типа 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) перманентным маркером. Нумерацию необходимо наносить на крышке и сбоку в специально выделенном квадрате пробирки.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889" w:type="dxa"/>
            <w:gridSpan w:val="3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При необходимости размороженную кровь гомогенизировать.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889" w:type="dxa"/>
            <w:gridSpan w:val="3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вакуумную пробирку с размороженной кровью.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1000 мкл, убедиться, что посадочный конус не загрязнен, установить наконечник до 1000 мкл. Наконечник должен быть герметично присоединен к посадочному конусу. Набрать 1000 мкл цельной крови и перенести в чистую пронумерованную микроцентрифужную пробирку объемом 1,5 мл, стоящую в пластиковом штативе для пробирок.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наконечники 1000 мкл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крышку пронумерованной микроцентрифужной пробирки с кровью.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пробирку с размороженной кровью и поставить в пластиковый штатив для пробирок.  Подойдите к морозильнику, открыть нужный отсек (</w:t>
            </w:r>
            <w:r w:rsidRPr="00E75EBF">
              <w:rPr>
                <w:rFonts w:ascii="Times New Roman" w:hAnsi="Times New Roman" w:cs="Times New Roman"/>
                <w:i/>
                <w:sz w:val="20"/>
                <w:szCs w:val="20"/>
              </w:rPr>
              <w:t>нельзя держать морозильник открытым более трех минут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) и поставить туда пробирку с кровью строго на место по шифру.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штатив с пронумерованной микроцентрифужной пробиркой с кровью и подойти к центрифуге.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Включить центрифугу в сеть. Загорится цифровое табло. Нажать кнопку …… -мигает цифровой индикатор. С помощью кнопок «больше -меньше» установить скорость 5000 об/мини время для работы 5 мин.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крышку центрифуги, нажатием на кнопку «OPEN». Поместить пронумерованную микроцентрифужную пробирку с кровью в адаптеры ротора. Всегда загружайте ротор симметрично, минимизируя разницу веса между заполненными пробирками. Для симметрии взять чистую микроцентрифужную пробирку объемом 1,5 мл и налить в нее 1000 мкл воды. Закрыть крышку центрифуги.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Нажать кнопку "Пуск" - загорается световой центральный индикатор. Отсчет пошел. Убедитесь, что центрифуга работает без вибраций, толчков и постороннего шума.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После окончания центрифугирования, нажатием на кнопку «OPEN», открыть крышку центрифуги. Аккуратно вынуть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из центрифуги пронумерованную микроцентрифужную пробирку с кровью и поставить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ее в штатив для пробирок объемом 1,5 мл слева направо, начиная со второго ряда.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Штатив с пронумерованной микроцентрифужной пробиркой с кровью поставить на рабочий стол. Открыть крышку пронумерованной микроцентрифужной пробирки и аккуратно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слить супернатант в пластиковый контейнер с дезинфицирующим раствором. Пронумерованную микроцентрифужную пробирку с осадком поставить в штатив для пробирок.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дезинфицирующим раствором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1000 мкл, убедиться, что посадочный конус не загрязнен, установить наконечник до 1000 мкл. Наконечник должен быть герметично присоединен к посадочному конусу. Набрать 1000 мкл RBC lysis solution и аккуратно перенести в пронумерованную микроцентрифужную пробирку с кровью, стоящую в пластиковом штативе для пробирок, при этом, не касаясь наконечником краев пробирки.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1000 мкл,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RBC lysis solution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крышку пронумерованной микроцентрифужной пробирки и ее содержимое перемешать на вортексе в течение 20 сек.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штатив с пронумерованной микроцентрифужной пробиркой с содержимым и подойти к центрифуге. С помощью кнопок «больше-меньше» установить в центрифуге скорость 6000 об/мин и время для работы 5 мин.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крышку центрифуги, нажатием на кнопку «OPEN». Поместить пронумерованную микроцентрифужную пробирку с содержимымв адаптеры ротора. Всегда загружайте ротор симметрично, минимизируя разницу веса между заполненными пробирками. Для симметрии взять чистую микроцентрифужную пробирку объемом 1,5 мл и налить в нее 1000 мкл воды. Закрыть крышку центрифуги.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Нажать кнопку "Пуск" - загорается световой центральный индикатор. Отсчет пошел. Убедитесь, что центрифуга работает без вибраций, толчков и постороннего шума.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После окончания центрифугирования, нажатием на кнопку «OPEN», открыть крышку центрифуги. Аккуратно вынуть из центрифуги пронумерованную микроцентрифужную пробирку с содержимым и поставить ее в штатив для пробирок.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Штатив с пронумерованной микроцентрифужной пробиркой с содержимым поставить на рабочий стол. Открыть крышку пронумерованной микроцентрифужной пробирки и аккуратно слить супернатант в пластиковый контейнер с дезинфицирующим раствором. Опрокинуть пронумерованную микроцентрифужную пробирку с осадком на фильтровальную бумагу размером 20х20 см и промокнуть ее. Пронумерованную микроцентрифужную пробирку с содержимым поставить в штатив для пробирок.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дезинфицирующим раствором, фильтровальная бумага 20 х 20 см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1000 мкл, убедиться, что посадочный конус не загрязнен, установить наконечник до 1000 мкл. Наконечник должен быть герметично присоединен к посадочному конусу. Набрать 400 мкл Nucleic lysis solution и аккуратно внести в пронумерованную микроцентрифужную пробирку с содержимым, стоящую в пластиковом штативе для пробирок, при этом, не касаясь наконечником краев пробирки.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1000 мкл,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Nucleic lysis solution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Закрыть крышку пронумерованной микроцентрифужной пробирки и ее содержимое перемешать на вортексе в течение 5 мин до растворения осадка. </w:t>
            </w:r>
          </w:p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штатив с пронумерованной микроцентрифужной пробиркой с содержимым и подойти к термостату. Открыть термостат и поместить в него штатив с пронумерованной центрифужной пробиркой с содержимым. Оставить в термостате на 3 мин при температуре 65 С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200 мкл, убедиться, что посадочный конус не загрязнен, установить наконечник до 200 мкл. Наконечник должен быть герметично присоединен к посадочному конусу. Набрать 100 мкл 5M NaCl и аккуратно внести в пронумерованную микроцентрифужную пробирку с содержимым, стоящую в пластиковом штативе для пробирок, при этом, не касаясь наконечником краев пробирки.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200 мкл,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5M NaCl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1000 мкл, убедиться, что посадочный конус не загрязнен, установить наконечник до 1000 мкл. Наконечник должен быть герметично присоединен к посадочному конусу. Набрать 600 мкл охлажденного до +4 С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хлороформа и аккуратно внести в пронумерованную микроцентрифужную пробирку с содержимым, стоящую в пластиковом штативе для пробирок, при этом, не касаясь наконечником краев пробирки.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1000 мкл,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охлажденн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до +4 С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хлороформ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крышку пронумерованной микроцентрифужной пробирки и ее содержимое перемешать на вортексе в течение 20 секунд.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Взять штатив с пронумерованной микроцентрифужной пробиркой с содержимым и подойти к центрифуге. С помощью кнопок «больше -меньше» установить в центрифуге скорость 10000 об/мин и время для работы 10 мин. 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крышку центрифуги, нажатием на кнопку «OPEN». Поместить пронумерованную микроцентрифужную пробирку с содержимым в адаптеры ротора. Всегда загружайте ротор симметрично, минимизируя разницу веса между заполненными пробирками. Для симметрии взять чистую микроцентрифужную пробирку объемом 1,5 мл и налить в нее 1000 мкл воды. Закрыть крышку центрифуги.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Нажать кнопку "Пуск" - загорается световой центральный индикатор. Отсчет пошел. Убедитесь, что центрифуга работает без вибраций, толчков и постороннего шума.</w:t>
            </w:r>
          </w:p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Подготовить чистую микроцентрифужную пробирку с крышкой объемом 1,5 мл и промаркировать ее перманентным маркером. Нумерацию необходимо наносить на крышке и сбоку в специально выделенном квадрате пробирки.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155B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Пинцет, пробирки типа эппендорф 1,5 – 2,0 мл, перманентный маркер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После окончания центрифугирования, нажатием на кнопку «OPEN», открыть крышку центрифуги. Аккуратно вынуть из центрифуги пронумерованную микроцентрифужную пробирку с содержимым и поставить ее в штатив для пробирок.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2030" w:type="dxa"/>
            <w:vMerge w:val="restart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наконечники 200 мкл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Штатив с пронумерованной микроцентрифужной пробиркой с содержимым поставить на рабочий стол. 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Взять пипеточный одноканальный дозатор объемом 200 мкл, убедиться, что посадочный конус не загрязнен, установить наконечник до 200 мкл. Наконечник должен быть герметично присоединен к посадочному конусу. 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Нажав поршень пипеточного одноканального дозатора до первого упора, поместить наконечник в пронумерованную микроцентрифужную пробирку с содержимым и аккуратно собрать верхнюю прозрачную фазу, плавно отпустив поршень в исходное положение. Аккуратно извлечь наконечник и перенести собранный супернатант в подготовленную чистую микроцентрифужную пробирку. Использованный наконечник поместить в пластиковый контейнер для сбора и дезинфицирующей обработки расходных материалов.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Взять пипеточный одноканальный дозатор объемом 1000 мкл, убедиться, что посадочный конус не загрязнен, установить наконечник до 1000 мкл. Набрать 800 мкл 96-ти % этилового спирта, охлажденного до -20 С</w:t>
            </w:r>
            <w:r w:rsidRPr="00E75E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и аккуратно внести в пронумерованную микроцентрифужную пробирку с супернатантом, стоящую в пластиковом штативе для пробирок. Использованный наконечник поместить в пластиковый контейнер для сбора и дезинфицирующей обработки расходных материалов. 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Дозатор, наконечники 1000 мкл,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96-ти % этилов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спирт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крышку пронумерованной микроцентрифужной пробирки и повернуть вверх-вниз 5-6 раз до появления видимого сгустка ДНК. Поставить пронумерованную микроцентрифужную пробирку с штатив для пробирок.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030" w:type="dxa"/>
          </w:tcPr>
          <w:p w:rsidR="00E2302F" w:rsidRDefault="00155BFB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Взять штатив с пронумерованной микроцентрифужной пробиркой с содержимым и подойти к центрифуге. С помощью кнопок «больше -меньше» установить в центрифуге скорость 12000 об/мин и время для работы 3 мин. 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2030" w:type="dxa"/>
            <w:vMerge w:val="restart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крышку центрифуги, нажатием на кнопку «OPEN». Поместить пронумерованную микроцентрифужную пробирку с содержимым в адаптеры ротора. Всегда загружайте ротор симметрично, минимизируя разницу веса между заполненными пробирками. Для симметрии взять чистую микроцентрифужную пробирку объемом 1,5 мл и налить в нее 1000 мкл воды. Закрыть крышку центрифуги.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Нажать кнопку "Пуск" - загорается световой центральный индикатор. Отсчет пошел. Убедитесь, что центрифуга работает без вибраций, толчков и постороннего шума.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После окончания центрифугирования, нажатием на кнопку «OPEN», открыть крышку центрифуги. Аккуратно вынуть из центрифуги пронумерованную микроцентрифужную пробирку с содержимым и поставить ее в штатив для пробирок.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Штатив с пронумерованной микроцентрифужной пробиркой с содержимым поставить на рабочий стол. Открыть крышку пронумерованной микроцентрифужной пробирки и аккуратно слить супернатант в специальную емкость, обращая внимание на осадок (он 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может смыться вместе с супернатантом). Опрокинуть пронумерованную микроцентрифужную пробирку с осадком на фильтровальную бумагу размером 20х20 см и промокнуть ее. Пронумерованную микроцентрифужную пробирку с осадком поставить в штатив для пробирок. 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с дезинфицирующим раствором,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фильтровальная бумага 20 х 20 см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9889" w:type="dxa"/>
            <w:gridSpan w:val="3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этапе осажденную ДНК можно промыть охлажденным 70-ти % этиловым спиртом, однако в этом нет необходимости, если ДНК будет в дальнейшем использоваться для проведения ПЦР. 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Если все же промывка необходима. Взять пипеточный одноканальный дозатор объемом 1000 мкл, убедиться, что посадочный конус не загрязнен, установить наконечник до 1000 мкл. Наконечник должен быть герметично присоединен к посадочному конусу. Набрать 800 мкл 70-ти % охлажденного этилового спирта и аккуратно внести в пронумерованную микроцентрифужную пробирку с осадком, стоящую в пластиковом штативе для пробирок. Использованный наконечник поместить в пластиковый контейнер для сбора и дезинфицирующей обработки расходных материалов. Закрыть крышку пронумерованной микроцентрифужной пробирки с содержимым и поставить в штатив.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наокнечники 1000 мкл, 70-ти % охлажденный этиловый спирт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Взять штатив с пронумерованной микроцентрифужной пробиркой с содержимым и подойти к центрифуге. С помощью кнопок «больше -меньше» установить в центрифуге скорость 12000 об/мин и время для работы 3 мин. </w:t>
            </w:r>
          </w:p>
        </w:tc>
        <w:tc>
          <w:tcPr>
            <w:tcW w:w="1276" w:type="dxa"/>
            <w:vMerge w:val="restart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2030" w:type="dxa"/>
            <w:vMerge w:val="restart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Открыть крышку центрифуги, нажатием на кнопку «OPEN». Поместить пронумерованную микроцентрифужную пробирку с содержимым в адаптеры ротора. Всегда загружайте ротор симметрично, минимизируя разницу веса между заполненными пробирками. Для симметрии взять чистую микроцентрифужную пробирку объемом 1,5 мл и налить в нее 1000 мкл воды. Закрыть крышку центрифуги.</w:t>
            </w:r>
          </w:p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Нажать кнопку "Пуск" - загорается световой центральный индикатор. Отсчет пошел. Убедитесь, что центрифуга работает без вибраций, толчков и постороннего шума.</w:t>
            </w:r>
          </w:p>
        </w:tc>
        <w:tc>
          <w:tcPr>
            <w:tcW w:w="1276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Штатив с пронумерованной микроцентрифужной пробиркой с содержимым поставить на рабочий стол. Открыть крышку пронумерованной микроцентрифужной пробирки и аккуратно слить супернатант в специальную емкость, обращая внимание на осадок (он может смыться вместе с супернатантом). Опрокинуть пронумерованную микроцентрифужную пробирку с осадком на фильтровальную бумагу размером 20х20 см и промокнуть ее. 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дезинфицирующим раствором, фильтровальная бумага 20 х 20 см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Пронумерованные микроцентрифужные пробирки с выделенной ДНК поместить в стерильный бокс с открытой крышкой на 30 минут для сушки образцов ДНК. 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БАВ –«Ламинар – С»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полного высушивания. Взять пипеточный одноканальный дозатор объемом 200 мкл, убедиться, что посадочный конус не загрязнен, установить наконечник до 200 мкл. Наконечник должен быть герметично присоединен к посадочному конусу. Набрать 100 мкл ТЕ буфера и аккуратно внести в пронумерованную микроцентрифужную пробирку с ДНК, стоящую в пластиковом штативе для пробирок, при этом, не касаясь наконечником краев пробирки. Использованный наконечник поместить в пластиковый контейнер для сбора и дезинфицирующей обработки расходных материалов. 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наконечники 200 мкл, ТЕ буфер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6583" w:type="dxa"/>
          </w:tcPr>
          <w:p w:rsidR="00E2302F" w:rsidRPr="00E75EBF" w:rsidRDefault="00E2302F" w:rsidP="00E2302F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Закрыть крышку пронумерованной микроцентрифужной пробирки и ее содержимое перемешать на вортексе в течение 5 мин или до полного растворения осадка ДНК. Пронумерованную микроцентрифужную пробирку поставить в штатив для хранения.</w:t>
            </w:r>
          </w:p>
        </w:tc>
        <w:tc>
          <w:tcPr>
            <w:tcW w:w="1276" w:type="dxa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30" w:type="dxa"/>
          </w:tcPr>
          <w:p w:rsidR="00E2302F" w:rsidRDefault="001166C0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</w:p>
        </w:tc>
      </w:tr>
      <w:tr w:rsidR="00E2302F" w:rsidTr="001166C0">
        <w:tc>
          <w:tcPr>
            <w:tcW w:w="424" w:type="dxa"/>
          </w:tcPr>
          <w:p w:rsidR="00E2302F" w:rsidRP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889" w:type="dxa"/>
            <w:gridSpan w:val="3"/>
          </w:tcPr>
          <w:p w:rsidR="00E2302F" w:rsidRDefault="00E2302F" w:rsidP="00E230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Подойдите к морозильнику, открыть нужный отсек (</w:t>
            </w:r>
            <w:r w:rsidRPr="00E75EBF">
              <w:rPr>
                <w:rFonts w:ascii="Times New Roman" w:hAnsi="Times New Roman" w:cs="Times New Roman"/>
                <w:i/>
                <w:sz w:val="20"/>
                <w:szCs w:val="20"/>
              </w:rPr>
              <w:t>нельзя держать морозильник открытым более трех минут</w:t>
            </w: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) и поставить туда штатив с пронумерованной микроцентрифужной пробиркой с выделенной ДНК.</w:t>
            </w:r>
          </w:p>
        </w:tc>
      </w:tr>
      <w:tr w:rsidR="001166C0" w:rsidTr="001166C0">
        <w:tc>
          <w:tcPr>
            <w:tcW w:w="424" w:type="dxa"/>
          </w:tcPr>
          <w:p w:rsidR="001166C0" w:rsidRPr="00E2302F" w:rsidRDefault="001166C0" w:rsidP="001166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6583" w:type="dxa"/>
          </w:tcPr>
          <w:p w:rsidR="001166C0" w:rsidRPr="00E75EBF" w:rsidRDefault="001166C0" w:rsidP="001166C0">
            <w:pPr>
              <w:pStyle w:val="12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По окончании работы 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276" w:type="dxa"/>
          </w:tcPr>
          <w:p w:rsidR="001166C0" w:rsidRDefault="001166C0" w:rsidP="001166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030" w:type="dxa"/>
          </w:tcPr>
          <w:p w:rsidR="001166C0" w:rsidRPr="009B0CC6" w:rsidRDefault="001166C0" w:rsidP="001166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Халат лабораторный, хирургический костюм, тапочки лабораторные, нитриловые перчатки</w:t>
            </w:r>
          </w:p>
        </w:tc>
      </w:tr>
    </w:tbl>
    <w:p w:rsidR="00E35530" w:rsidRPr="00E75EBF" w:rsidRDefault="00E35530">
      <w:pPr>
        <w:pStyle w:val="12"/>
        <w:keepNext/>
        <w:keepLines/>
        <w:numPr>
          <w:ilvl w:val="0"/>
          <w:numId w:val="10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2" w:name="_Toc501113715"/>
      <w:bookmarkEnd w:id="2"/>
    </w:p>
    <w:p w:rsidR="00E35530" w:rsidRPr="00E75EBF" w:rsidRDefault="00E35530">
      <w:pPr>
        <w:pStyle w:val="12"/>
        <w:keepNext/>
        <w:keepLines/>
        <w:numPr>
          <w:ilvl w:val="0"/>
          <w:numId w:val="10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3" w:name="_Toc501113716"/>
      <w:bookmarkEnd w:id="3"/>
    </w:p>
    <w:p w:rsidR="00E35530" w:rsidRPr="00E75EBF" w:rsidRDefault="00E35530">
      <w:pPr>
        <w:pStyle w:val="12"/>
        <w:keepNext/>
        <w:keepLines/>
        <w:numPr>
          <w:ilvl w:val="0"/>
          <w:numId w:val="10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4" w:name="_Toc501113717"/>
      <w:bookmarkEnd w:id="4"/>
    </w:p>
    <w:p w:rsidR="00E35530" w:rsidRPr="00E75EBF" w:rsidRDefault="00E35530">
      <w:pPr>
        <w:pStyle w:val="12"/>
        <w:keepNext/>
        <w:keepLines/>
        <w:numPr>
          <w:ilvl w:val="1"/>
          <w:numId w:val="10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5" w:name="_Toc501113718"/>
      <w:bookmarkEnd w:id="5"/>
    </w:p>
    <w:p w:rsidR="00E35530" w:rsidRPr="00D37AE6" w:rsidRDefault="000E233B" w:rsidP="00D37AE6">
      <w:pPr>
        <w:pStyle w:val="3"/>
        <w:ind w:left="360"/>
        <w:rPr>
          <w:rFonts w:ascii="Times New Roman" w:hAnsi="Times New Roman" w:cs="Times New Roman"/>
          <w:bCs w:val="0"/>
          <w:i/>
          <w:color w:val="auto"/>
          <w:sz w:val="20"/>
          <w:szCs w:val="20"/>
        </w:rPr>
      </w:pPr>
      <w:bookmarkStart w:id="6" w:name="_Toc501113719"/>
      <w:r w:rsidRPr="00D37AE6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Основное оборудование:</w:t>
      </w:r>
      <w:bookmarkEnd w:id="6"/>
    </w:p>
    <w:tbl>
      <w:tblPr>
        <w:tblStyle w:val="ac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851"/>
        <w:gridCol w:w="1564"/>
        <w:gridCol w:w="1838"/>
        <w:gridCol w:w="1417"/>
        <w:gridCol w:w="1383"/>
      </w:tblGrid>
      <w:tr w:rsidR="000E233B" w:rsidRPr="00E75EBF" w:rsidTr="00D37AE6">
        <w:trPr>
          <w:trHeight w:val="1890"/>
        </w:trPr>
        <w:tc>
          <w:tcPr>
            <w:tcW w:w="452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564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838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417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383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0E233B" w:rsidRPr="00E75EBF" w:rsidTr="00D37AE6">
        <w:trPr>
          <w:trHeight w:val="315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БАВ –«Ламинар – С»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64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М000000668</w:t>
            </w:r>
          </w:p>
        </w:tc>
        <w:tc>
          <w:tcPr>
            <w:tcW w:w="1838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7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99,00   </w:t>
            </w:r>
          </w:p>
        </w:tc>
        <w:tc>
          <w:tcPr>
            <w:tcW w:w="1383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24 453,00   </w:t>
            </w:r>
          </w:p>
        </w:tc>
      </w:tr>
      <w:tr w:rsidR="000E233B" w:rsidRPr="00E75EBF" w:rsidTr="00D37AE6">
        <w:trPr>
          <w:trHeight w:val="315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64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М000000585</w:t>
            </w:r>
          </w:p>
        </w:tc>
        <w:tc>
          <w:tcPr>
            <w:tcW w:w="1838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0,17   </w:t>
            </w:r>
          </w:p>
        </w:tc>
        <w:tc>
          <w:tcPr>
            <w:tcW w:w="1417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60,00   </w:t>
            </w:r>
          </w:p>
        </w:tc>
        <w:tc>
          <w:tcPr>
            <w:tcW w:w="1383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118 560,00   </w:t>
            </w:r>
          </w:p>
        </w:tc>
      </w:tr>
      <w:tr w:rsidR="000E233B" w:rsidRPr="00E75EBF" w:rsidTr="00D37AE6">
        <w:trPr>
          <w:trHeight w:val="630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Центрифуга Эппендорф 5702 R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64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М000000450</w:t>
            </w:r>
          </w:p>
        </w:tc>
        <w:tc>
          <w:tcPr>
            <w:tcW w:w="1838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23,00   </w:t>
            </w:r>
          </w:p>
        </w:tc>
        <w:tc>
          <w:tcPr>
            <w:tcW w:w="1383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5 681,00   </w:t>
            </w:r>
          </w:p>
        </w:tc>
      </w:tr>
      <w:tr w:rsidR="000E233B" w:rsidRPr="00E75EBF" w:rsidTr="00D37AE6">
        <w:trPr>
          <w:trHeight w:val="945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Микроцентрифуга -вортекс «Микроспин» 2400 об/мин FV-2400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64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М000000302</w:t>
            </w:r>
          </w:p>
        </w:tc>
        <w:tc>
          <w:tcPr>
            <w:tcW w:w="1838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0,03   </w:t>
            </w:r>
          </w:p>
        </w:tc>
        <w:tc>
          <w:tcPr>
            <w:tcW w:w="1417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11,00   </w:t>
            </w:r>
          </w:p>
        </w:tc>
        <w:tc>
          <w:tcPr>
            <w:tcW w:w="1383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118 560,00   </w:t>
            </w:r>
          </w:p>
        </w:tc>
      </w:tr>
      <w:tr w:rsidR="000E233B" w:rsidRPr="00E75EBF" w:rsidTr="00D37AE6">
        <w:trPr>
          <w:trHeight w:val="315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5" w:type="dxa"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Гомогенизатор IKA T10 basic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64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М000000320</w:t>
            </w:r>
          </w:p>
        </w:tc>
        <w:tc>
          <w:tcPr>
            <w:tcW w:w="1838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5,00   </w:t>
            </w:r>
          </w:p>
        </w:tc>
        <w:tc>
          <w:tcPr>
            <w:tcW w:w="1383" w:type="dxa"/>
            <w:noWrap/>
            <w:hideMark/>
          </w:tcPr>
          <w:p w:rsidR="000E233B" w:rsidRPr="00E75EBF" w:rsidRDefault="000E233B" w:rsidP="000E233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1 235,00   </w:t>
            </w:r>
          </w:p>
        </w:tc>
      </w:tr>
    </w:tbl>
    <w:p w:rsidR="00E35530" w:rsidRPr="00E75EBF" w:rsidRDefault="00E35530">
      <w:pPr>
        <w:pStyle w:val="12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35530" w:rsidRPr="00E75EBF" w:rsidRDefault="00E35530">
      <w:pPr>
        <w:pStyle w:val="12"/>
        <w:keepNext/>
        <w:keepLines/>
        <w:numPr>
          <w:ilvl w:val="0"/>
          <w:numId w:val="12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7" w:name="_Toc501113720"/>
      <w:bookmarkEnd w:id="7"/>
    </w:p>
    <w:p w:rsidR="00E35530" w:rsidRPr="00E75EBF" w:rsidRDefault="00E35530">
      <w:pPr>
        <w:pStyle w:val="12"/>
        <w:keepNext/>
        <w:keepLines/>
        <w:numPr>
          <w:ilvl w:val="0"/>
          <w:numId w:val="12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8" w:name="_Toc501113721"/>
      <w:bookmarkEnd w:id="8"/>
    </w:p>
    <w:p w:rsidR="00E35530" w:rsidRPr="00E75EBF" w:rsidRDefault="00E35530">
      <w:pPr>
        <w:pStyle w:val="12"/>
        <w:keepNext/>
        <w:keepLines/>
        <w:numPr>
          <w:ilvl w:val="0"/>
          <w:numId w:val="12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9" w:name="_Toc501113722"/>
      <w:bookmarkEnd w:id="9"/>
    </w:p>
    <w:p w:rsidR="00E35530" w:rsidRPr="00E75EBF" w:rsidRDefault="00E35530">
      <w:pPr>
        <w:pStyle w:val="12"/>
        <w:keepNext/>
        <w:keepLines/>
        <w:numPr>
          <w:ilvl w:val="1"/>
          <w:numId w:val="12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0" w:name="_Toc501113723"/>
      <w:bookmarkEnd w:id="10"/>
    </w:p>
    <w:p w:rsidR="00E35530" w:rsidRPr="00E75EBF" w:rsidRDefault="00E35530">
      <w:pPr>
        <w:pStyle w:val="12"/>
        <w:keepNext/>
        <w:keepLines/>
        <w:numPr>
          <w:ilvl w:val="2"/>
          <w:numId w:val="12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1" w:name="_Toc501113724"/>
      <w:bookmarkEnd w:id="11"/>
    </w:p>
    <w:p w:rsidR="00E35530" w:rsidRPr="00D37AE6" w:rsidRDefault="000E233B" w:rsidP="00D37AE6">
      <w:pPr>
        <w:pStyle w:val="3"/>
        <w:ind w:left="360"/>
        <w:rPr>
          <w:rFonts w:ascii="Times New Roman" w:hAnsi="Times New Roman" w:cs="Times New Roman"/>
          <w:bCs w:val="0"/>
          <w:i/>
          <w:color w:val="auto"/>
          <w:sz w:val="20"/>
          <w:szCs w:val="20"/>
        </w:rPr>
      </w:pPr>
      <w:bookmarkStart w:id="12" w:name="_Toc501113725"/>
      <w:r w:rsidRPr="00D37AE6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Вспомогательное оборудование:</w:t>
      </w:r>
      <w:bookmarkEnd w:id="12"/>
    </w:p>
    <w:tbl>
      <w:tblPr>
        <w:tblStyle w:val="ac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2"/>
        <w:gridCol w:w="2809"/>
        <w:gridCol w:w="851"/>
        <w:gridCol w:w="1559"/>
        <w:gridCol w:w="1821"/>
        <w:gridCol w:w="1391"/>
        <w:gridCol w:w="1182"/>
      </w:tblGrid>
      <w:tr w:rsidR="000E233B" w:rsidRPr="00E75EBF" w:rsidTr="00D37AE6">
        <w:trPr>
          <w:trHeight w:val="1890"/>
        </w:trPr>
        <w:tc>
          <w:tcPr>
            <w:tcW w:w="452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55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82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39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182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0E233B" w:rsidRPr="00E75EBF" w:rsidTr="00D37AE6">
        <w:trPr>
          <w:trHeight w:val="570"/>
        </w:trPr>
        <w:tc>
          <w:tcPr>
            <w:tcW w:w="452" w:type="dxa"/>
            <w:noWrap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Лабораторный рабочий стол для проведения исследований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M000000255</w:t>
            </w:r>
          </w:p>
        </w:tc>
        <w:tc>
          <w:tcPr>
            <w:tcW w:w="182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39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20,00   </w:t>
            </w:r>
          </w:p>
        </w:tc>
        <w:tc>
          <w:tcPr>
            <w:tcW w:w="1182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118 560,00   </w:t>
            </w:r>
          </w:p>
        </w:tc>
      </w:tr>
      <w:tr w:rsidR="000E233B" w:rsidRPr="00E75EBF" w:rsidTr="00D37AE6">
        <w:trPr>
          <w:trHeight w:val="900"/>
        </w:trPr>
        <w:tc>
          <w:tcPr>
            <w:tcW w:w="452" w:type="dxa"/>
            <w:noWrap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Лабораторные стул или кресло (с поверхностью, подлежащей обработке дезинфицирующим средством)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M000000256</w:t>
            </w:r>
          </w:p>
        </w:tc>
        <w:tc>
          <w:tcPr>
            <w:tcW w:w="182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0,17   </w:t>
            </w:r>
          </w:p>
        </w:tc>
        <w:tc>
          <w:tcPr>
            <w:tcW w:w="139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60,00   </w:t>
            </w:r>
          </w:p>
        </w:tc>
        <w:tc>
          <w:tcPr>
            <w:tcW w:w="1182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118 560,00   </w:t>
            </w:r>
          </w:p>
        </w:tc>
      </w:tr>
      <w:tr w:rsidR="000E233B" w:rsidRPr="00E75EBF" w:rsidTr="00D37AE6">
        <w:trPr>
          <w:trHeight w:val="630"/>
        </w:trPr>
        <w:tc>
          <w:tcPr>
            <w:tcW w:w="452" w:type="dxa"/>
            <w:noWrap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Шкаф для хранения расходных материалов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11043101293</w:t>
            </w:r>
          </w:p>
        </w:tc>
        <w:tc>
          <w:tcPr>
            <w:tcW w:w="182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1,00   </w:t>
            </w:r>
          </w:p>
        </w:tc>
        <w:tc>
          <w:tcPr>
            <w:tcW w:w="139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1440,00   </w:t>
            </w:r>
          </w:p>
        </w:tc>
        <w:tc>
          <w:tcPr>
            <w:tcW w:w="1182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525 600,00   </w:t>
            </w:r>
          </w:p>
        </w:tc>
      </w:tr>
      <w:tr w:rsidR="000E233B" w:rsidRPr="00E75EBF" w:rsidTr="00D37AE6">
        <w:trPr>
          <w:trHeight w:val="645"/>
        </w:trPr>
        <w:tc>
          <w:tcPr>
            <w:tcW w:w="452" w:type="dxa"/>
            <w:noWrap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Стол для регистрации результатов исследования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М000000129</w:t>
            </w:r>
          </w:p>
        </w:tc>
        <w:tc>
          <w:tcPr>
            <w:tcW w:w="182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30,00   </w:t>
            </w:r>
          </w:p>
        </w:tc>
        <w:tc>
          <w:tcPr>
            <w:tcW w:w="1182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7 410,00   </w:t>
            </w:r>
          </w:p>
        </w:tc>
      </w:tr>
      <w:tr w:rsidR="000E233B" w:rsidRPr="00E75EBF" w:rsidTr="00D37AE6">
        <w:trPr>
          <w:trHeight w:val="315"/>
        </w:trPr>
        <w:tc>
          <w:tcPr>
            <w:tcW w:w="452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М000000564</w:t>
            </w:r>
          </w:p>
        </w:tc>
        <w:tc>
          <w:tcPr>
            <w:tcW w:w="182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30,00   </w:t>
            </w:r>
          </w:p>
        </w:tc>
        <w:tc>
          <w:tcPr>
            <w:tcW w:w="1182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7 410,00   </w:t>
            </w:r>
          </w:p>
        </w:tc>
      </w:tr>
    </w:tbl>
    <w:p w:rsidR="00E35530" w:rsidRPr="00E75EBF" w:rsidRDefault="00E355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35530" w:rsidRPr="00E75EBF" w:rsidRDefault="00E35530">
      <w:pPr>
        <w:pStyle w:val="12"/>
        <w:keepNext/>
        <w:keepLines/>
        <w:numPr>
          <w:ilvl w:val="0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3" w:name="_Toc501113726"/>
      <w:bookmarkEnd w:id="13"/>
    </w:p>
    <w:p w:rsidR="00E35530" w:rsidRPr="00E75EBF" w:rsidRDefault="00E35530">
      <w:pPr>
        <w:pStyle w:val="12"/>
        <w:keepNext/>
        <w:keepLines/>
        <w:numPr>
          <w:ilvl w:val="0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4" w:name="_Toc501113727"/>
      <w:bookmarkEnd w:id="14"/>
    </w:p>
    <w:p w:rsidR="00E35530" w:rsidRPr="00E75EBF" w:rsidRDefault="00E35530">
      <w:pPr>
        <w:pStyle w:val="12"/>
        <w:keepNext/>
        <w:keepLines/>
        <w:numPr>
          <w:ilvl w:val="0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5" w:name="_Toc501113728"/>
      <w:bookmarkEnd w:id="15"/>
    </w:p>
    <w:p w:rsidR="00E35530" w:rsidRPr="00E75EBF" w:rsidRDefault="00E35530">
      <w:pPr>
        <w:pStyle w:val="12"/>
        <w:keepNext/>
        <w:keepLines/>
        <w:numPr>
          <w:ilvl w:val="1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6" w:name="_Toc501113729"/>
      <w:bookmarkEnd w:id="16"/>
    </w:p>
    <w:p w:rsidR="00E35530" w:rsidRPr="00E75EBF" w:rsidRDefault="00E35530">
      <w:pPr>
        <w:pStyle w:val="12"/>
        <w:keepNext/>
        <w:keepLines/>
        <w:numPr>
          <w:ilvl w:val="2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7" w:name="_Toc501113730"/>
      <w:bookmarkEnd w:id="17"/>
    </w:p>
    <w:p w:rsidR="00E35530" w:rsidRPr="00E75EBF" w:rsidRDefault="00E35530">
      <w:pPr>
        <w:pStyle w:val="12"/>
        <w:keepNext/>
        <w:keepLines/>
        <w:numPr>
          <w:ilvl w:val="2"/>
          <w:numId w:val="14"/>
        </w:numPr>
        <w:spacing w:before="200" w:after="0"/>
        <w:contextualSpacing w:val="0"/>
        <w:outlineLvl w:val="2"/>
        <w:rPr>
          <w:rFonts w:ascii="Times New Roman" w:eastAsiaTheme="majorEastAsia" w:hAnsi="Times New Roman" w:cs="Times New Roman"/>
          <w:bCs/>
          <w:i/>
          <w:vanish/>
          <w:sz w:val="20"/>
          <w:szCs w:val="20"/>
        </w:rPr>
      </w:pPr>
      <w:bookmarkStart w:id="18" w:name="_Toc501113731"/>
      <w:bookmarkEnd w:id="18"/>
    </w:p>
    <w:p w:rsidR="000E233B" w:rsidRPr="00E75EBF" w:rsidRDefault="000E233B" w:rsidP="00D37AE6">
      <w:pPr>
        <w:pStyle w:val="3"/>
        <w:rPr>
          <w:rFonts w:ascii="Times New Roman" w:hAnsi="Times New Roman" w:cs="Times New Roman"/>
          <w:sz w:val="20"/>
          <w:szCs w:val="20"/>
        </w:rPr>
      </w:pPr>
      <w:bookmarkStart w:id="19" w:name="_Toc501113732"/>
      <w:r w:rsidRPr="00D37AE6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Расходные материалы и реактивы:</w:t>
      </w:r>
      <w:bookmarkEnd w:id="19"/>
    </w:p>
    <w:tbl>
      <w:tblPr>
        <w:tblStyle w:val="ac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5845"/>
        <w:gridCol w:w="1701"/>
        <w:gridCol w:w="1985"/>
      </w:tblGrid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bCs/>
                <w:sz w:val="20"/>
                <w:szCs w:val="20"/>
              </w:rPr>
              <w:t>Израсходовано единиц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Набор для выделения ДНК (на 100 выделений)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Ветошьодноразовая (Полотенце из хлопка с тиснением Эконом Белый 35х70 50 шт/рулон)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Штатив для микропробирок 1,5-2,0 мл с крышкой, RP-100 для хранения проб ДНК и их аликвот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Пробирка типа Eppendorf на 1,5 мл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Маркер перманентный "Материал 1".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Наконечник Omnitip - 1000 мкл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Лоток медицинский Контейнеры для дезинфекции и стерилизации КДСКронт 3 л. Срок службы – 3года.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Фильтровальная бумага (20х20 см)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Наконечник пластиковый на пипетку - 200 мкл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Вода деионизированнаяованная ГОСТ 6709-72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</w:p>
        </w:tc>
        <w:tc>
          <w:tcPr>
            <w:tcW w:w="1985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45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Спирт (этанол) 70%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Халат/брюки с курткой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Перчатки нитриловые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Пинцет медицинский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Пипетки полуавтоматические одноканальные со сменяемыми наконечниками на 20-200 мкл типа "Ленпипет", (на 100 ед.хр.)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Пипетки полуавтоматические одноканальные со сменяемыми наконечниками на 200-1000 мкл типа "Ленпипет", (на 100 ед.хр.)</w:t>
            </w:r>
          </w:p>
        </w:tc>
        <w:tc>
          <w:tcPr>
            <w:tcW w:w="1701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Штативы для 1,5 мл пробирок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Штатив для вакуумных пробирок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33B" w:rsidRPr="00E75EBF" w:rsidTr="00D37AE6">
        <w:trPr>
          <w:trHeight w:val="20"/>
        </w:trPr>
        <w:tc>
          <w:tcPr>
            <w:tcW w:w="534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45" w:type="dxa"/>
            <w:hideMark/>
          </w:tcPr>
          <w:p w:rsidR="000E233B" w:rsidRPr="00E75EBF" w:rsidRDefault="000E233B" w:rsidP="000E2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Журнал протокола выделения ДНК</w:t>
            </w:r>
          </w:p>
        </w:tc>
        <w:tc>
          <w:tcPr>
            <w:tcW w:w="1701" w:type="dxa"/>
            <w:noWrap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5" w:type="dxa"/>
            <w:hideMark/>
          </w:tcPr>
          <w:p w:rsidR="000E233B" w:rsidRPr="00E75EBF" w:rsidRDefault="000E233B" w:rsidP="000E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</w:tbl>
    <w:p w:rsidR="00E35530" w:rsidRPr="00E75EBF" w:rsidRDefault="00E355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35530" w:rsidRPr="00E75EBF" w:rsidRDefault="00E35530">
      <w:pPr>
        <w:pStyle w:val="12"/>
        <w:keepNext/>
        <w:keepLines/>
        <w:numPr>
          <w:ilvl w:val="0"/>
          <w:numId w:val="16"/>
        </w:numPr>
        <w:spacing w:before="200" w:after="0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20" w:name="_Toc501113733"/>
      <w:bookmarkEnd w:id="20"/>
    </w:p>
    <w:p w:rsidR="00E35530" w:rsidRPr="00E75EBF" w:rsidRDefault="00E35530">
      <w:pPr>
        <w:pStyle w:val="12"/>
        <w:keepNext/>
        <w:keepLines/>
        <w:numPr>
          <w:ilvl w:val="0"/>
          <w:numId w:val="16"/>
        </w:numPr>
        <w:spacing w:before="200" w:after="0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21" w:name="_Toc501113734"/>
      <w:bookmarkEnd w:id="21"/>
    </w:p>
    <w:p w:rsidR="00E35530" w:rsidRPr="00E75EBF" w:rsidRDefault="00E35530">
      <w:pPr>
        <w:pStyle w:val="12"/>
        <w:keepNext/>
        <w:keepLines/>
        <w:numPr>
          <w:ilvl w:val="0"/>
          <w:numId w:val="16"/>
        </w:numPr>
        <w:spacing w:before="200" w:after="0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22" w:name="_Toc501113735"/>
      <w:bookmarkEnd w:id="22"/>
    </w:p>
    <w:p w:rsidR="00E35530" w:rsidRPr="00E75EBF" w:rsidRDefault="00E35530">
      <w:pPr>
        <w:pStyle w:val="12"/>
        <w:keepNext/>
        <w:keepLines/>
        <w:numPr>
          <w:ilvl w:val="1"/>
          <w:numId w:val="16"/>
        </w:numPr>
        <w:spacing w:before="200" w:after="0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0"/>
          <w:szCs w:val="20"/>
        </w:rPr>
      </w:pPr>
      <w:bookmarkStart w:id="23" w:name="_Toc501113736"/>
      <w:bookmarkEnd w:id="23"/>
    </w:p>
    <w:sectPr w:rsidR="00E35530" w:rsidRPr="00E75EBF" w:rsidSect="00E23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83"/>
    <w:multiLevelType w:val="multilevel"/>
    <w:tmpl w:val="08072D83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FB6289"/>
    <w:multiLevelType w:val="multilevel"/>
    <w:tmpl w:val="15FB62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4E20"/>
    <w:multiLevelType w:val="multilevel"/>
    <w:tmpl w:val="1D2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80C"/>
    <w:multiLevelType w:val="multilevel"/>
    <w:tmpl w:val="200B080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0BEF"/>
    <w:multiLevelType w:val="multilevel"/>
    <w:tmpl w:val="25740BE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24FEC"/>
    <w:multiLevelType w:val="multilevel"/>
    <w:tmpl w:val="29B2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340EA"/>
    <w:multiLevelType w:val="multilevel"/>
    <w:tmpl w:val="309340E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BF4D21"/>
    <w:multiLevelType w:val="multilevel"/>
    <w:tmpl w:val="37BF4D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2A609F9"/>
    <w:multiLevelType w:val="multilevel"/>
    <w:tmpl w:val="42A609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757"/>
    <w:multiLevelType w:val="multilevel"/>
    <w:tmpl w:val="44A64757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FC342BE"/>
    <w:multiLevelType w:val="multilevel"/>
    <w:tmpl w:val="4FC342B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20BE"/>
    <w:multiLevelType w:val="multilevel"/>
    <w:tmpl w:val="51FA20B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476E350"/>
    <w:multiLevelType w:val="multilevel"/>
    <w:tmpl w:val="5476E3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387A31"/>
    <w:multiLevelType w:val="multilevel"/>
    <w:tmpl w:val="55387A31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EE4930"/>
    <w:multiLevelType w:val="multilevel"/>
    <w:tmpl w:val="59EE493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476869"/>
    <w:multiLevelType w:val="multilevel"/>
    <w:tmpl w:val="754768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6D820E1"/>
    <w:multiLevelType w:val="multilevel"/>
    <w:tmpl w:val="76D820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44BF"/>
    <w:multiLevelType w:val="multilevel"/>
    <w:tmpl w:val="76E044B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610748637">
    <w:abstractNumId w:val="12"/>
  </w:num>
  <w:num w:numId="2" w16cid:durableId="646784682">
    <w:abstractNumId w:val="10"/>
  </w:num>
  <w:num w:numId="3" w16cid:durableId="1406873993">
    <w:abstractNumId w:val="4"/>
  </w:num>
  <w:num w:numId="4" w16cid:durableId="1884902119">
    <w:abstractNumId w:val="3"/>
  </w:num>
  <w:num w:numId="5" w16cid:durableId="988172482">
    <w:abstractNumId w:val="17"/>
  </w:num>
  <w:num w:numId="6" w16cid:durableId="515658934">
    <w:abstractNumId w:val="15"/>
  </w:num>
  <w:num w:numId="7" w16cid:durableId="207382103">
    <w:abstractNumId w:val="7"/>
  </w:num>
  <w:num w:numId="8" w16cid:durableId="378283631">
    <w:abstractNumId w:val="9"/>
  </w:num>
  <w:num w:numId="9" w16cid:durableId="1857232776">
    <w:abstractNumId w:val="14"/>
  </w:num>
  <w:num w:numId="10" w16cid:durableId="1226724252">
    <w:abstractNumId w:val="0"/>
  </w:num>
  <w:num w:numId="11" w16cid:durableId="1999645496">
    <w:abstractNumId w:val="2"/>
  </w:num>
  <w:num w:numId="12" w16cid:durableId="101920156">
    <w:abstractNumId w:val="13"/>
  </w:num>
  <w:num w:numId="13" w16cid:durableId="1234002220">
    <w:abstractNumId w:val="1"/>
  </w:num>
  <w:num w:numId="14" w16cid:durableId="2058239329">
    <w:abstractNumId w:val="6"/>
  </w:num>
  <w:num w:numId="15" w16cid:durableId="1555850079">
    <w:abstractNumId w:val="16"/>
  </w:num>
  <w:num w:numId="16" w16cid:durableId="1884906014">
    <w:abstractNumId w:val="11"/>
  </w:num>
  <w:num w:numId="17" w16cid:durableId="1221404995">
    <w:abstractNumId w:val="8"/>
  </w:num>
  <w:num w:numId="18" w16cid:durableId="1283149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C6"/>
    <w:rsid w:val="00002319"/>
    <w:rsid w:val="00021D04"/>
    <w:rsid w:val="0004334E"/>
    <w:rsid w:val="00057D0B"/>
    <w:rsid w:val="00072E07"/>
    <w:rsid w:val="00085C38"/>
    <w:rsid w:val="000958F4"/>
    <w:rsid w:val="000A117F"/>
    <w:rsid w:val="000C040C"/>
    <w:rsid w:val="000D0001"/>
    <w:rsid w:val="000E233B"/>
    <w:rsid w:val="000E6228"/>
    <w:rsid w:val="000F5079"/>
    <w:rsid w:val="0010758B"/>
    <w:rsid w:val="001166C0"/>
    <w:rsid w:val="00155BFB"/>
    <w:rsid w:val="00161D02"/>
    <w:rsid w:val="00161E83"/>
    <w:rsid w:val="00174EEE"/>
    <w:rsid w:val="001948DF"/>
    <w:rsid w:val="001B02B8"/>
    <w:rsid w:val="001B0C57"/>
    <w:rsid w:val="001D23F1"/>
    <w:rsid w:val="001E1931"/>
    <w:rsid w:val="001F2CE5"/>
    <w:rsid w:val="00201970"/>
    <w:rsid w:val="00220308"/>
    <w:rsid w:val="002258C5"/>
    <w:rsid w:val="00230391"/>
    <w:rsid w:val="00245844"/>
    <w:rsid w:val="0025747B"/>
    <w:rsid w:val="00262D42"/>
    <w:rsid w:val="0026313E"/>
    <w:rsid w:val="0028235A"/>
    <w:rsid w:val="002861CF"/>
    <w:rsid w:val="002C4BD9"/>
    <w:rsid w:val="002D04E6"/>
    <w:rsid w:val="002D6781"/>
    <w:rsid w:val="002D7198"/>
    <w:rsid w:val="002E1260"/>
    <w:rsid w:val="00314AAE"/>
    <w:rsid w:val="003215FF"/>
    <w:rsid w:val="003223C3"/>
    <w:rsid w:val="0032702B"/>
    <w:rsid w:val="00333F6E"/>
    <w:rsid w:val="003621CA"/>
    <w:rsid w:val="003831CF"/>
    <w:rsid w:val="003842F2"/>
    <w:rsid w:val="00386B19"/>
    <w:rsid w:val="003E7659"/>
    <w:rsid w:val="003F4245"/>
    <w:rsid w:val="003F7593"/>
    <w:rsid w:val="004156C4"/>
    <w:rsid w:val="00417A54"/>
    <w:rsid w:val="00422B18"/>
    <w:rsid w:val="004234D7"/>
    <w:rsid w:val="004245B4"/>
    <w:rsid w:val="00443640"/>
    <w:rsid w:val="0044424D"/>
    <w:rsid w:val="0045353C"/>
    <w:rsid w:val="00495B8F"/>
    <w:rsid w:val="004A1FD4"/>
    <w:rsid w:val="004A30A3"/>
    <w:rsid w:val="004A56CB"/>
    <w:rsid w:val="004D2F24"/>
    <w:rsid w:val="004D6E82"/>
    <w:rsid w:val="004F4D51"/>
    <w:rsid w:val="005109CD"/>
    <w:rsid w:val="00530FCF"/>
    <w:rsid w:val="00532D99"/>
    <w:rsid w:val="00542B3E"/>
    <w:rsid w:val="00544443"/>
    <w:rsid w:val="0054756E"/>
    <w:rsid w:val="00551F9E"/>
    <w:rsid w:val="00552C06"/>
    <w:rsid w:val="005668CF"/>
    <w:rsid w:val="00574EC5"/>
    <w:rsid w:val="00585331"/>
    <w:rsid w:val="00591141"/>
    <w:rsid w:val="005A1226"/>
    <w:rsid w:val="005A1EC7"/>
    <w:rsid w:val="005A2DF6"/>
    <w:rsid w:val="005A7529"/>
    <w:rsid w:val="005C189A"/>
    <w:rsid w:val="005D3C67"/>
    <w:rsid w:val="005E18A4"/>
    <w:rsid w:val="005E6E1F"/>
    <w:rsid w:val="005F2295"/>
    <w:rsid w:val="006053B1"/>
    <w:rsid w:val="006204A4"/>
    <w:rsid w:val="00620A01"/>
    <w:rsid w:val="00644F70"/>
    <w:rsid w:val="006576E9"/>
    <w:rsid w:val="006669EE"/>
    <w:rsid w:val="006722B4"/>
    <w:rsid w:val="00676274"/>
    <w:rsid w:val="0069016E"/>
    <w:rsid w:val="00694D9F"/>
    <w:rsid w:val="00695A2C"/>
    <w:rsid w:val="006C655B"/>
    <w:rsid w:val="006D4FA4"/>
    <w:rsid w:val="006E7756"/>
    <w:rsid w:val="006E7E2F"/>
    <w:rsid w:val="006F0DEB"/>
    <w:rsid w:val="00714C12"/>
    <w:rsid w:val="00725053"/>
    <w:rsid w:val="00730598"/>
    <w:rsid w:val="00752B25"/>
    <w:rsid w:val="00753F6E"/>
    <w:rsid w:val="00757387"/>
    <w:rsid w:val="007B5A24"/>
    <w:rsid w:val="007C3984"/>
    <w:rsid w:val="007D0B5F"/>
    <w:rsid w:val="007D3C86"/>
    <w:rsid w:val="007E5C81"/>
    <w:rsid w:val="007F10C6"/>
    <w:rsid w:val="0080130C"/>
    <w:rsid w:val="00803ADF"/>
    <w:rsid w:val="00807B46"/>
    <w:rsid w:val="00825571"/>
    <w:rsid w:val="00833754"/>
    <w:rsid w:val="00867D4E"/>
    <w:rsid w:val="00880D2C"/>
    <w:rsid w:val="00891348"/>
    <w:rsid w:val="00893E3F"/>
    <w:rsid w:val="00897134"/>
    <w:rsid w:val="008D14A2"/>
    <w:rsid w:val="008D38E9"/>
    <w:rsid w:val="008E0A60"/>
    <w:rsid w:val="008E3B0A"/>
    <w:rsid w:val="008E4BA5"/>
    <w:rsid w:val="008E52FA"/>
    <w:rsid w:val="009052F1"/>
    <w:rsid w:val="009066D5"/>
    <w:rsid w:val="0091033D"/>
    <w:rsid w:val="009210C2"/>
    <w:rsid w:val="0093138E"/>
    <w:rsid w:val="00931848"/>
    <w:rsid w:val="0094172E"/>
    <w:rsid w:val="009448A9"/>
    <w:rsid w:val="009517BC"/>
    <w:rsid w:val="00963249"/>
    <w:rsid w:val="00966902"/>
    <w:rsid w:val="0098048A"/>
    <w:rsid w:val="00982F99"/>
    <w:rsid w:val="009903CC"/>
    <w:rsid w:val="009955EA"/>
    <w:rsid w:val="009B0323"/>
    <w:rsid w:val="009D0B73"/>
    <w:rsid w:val="009D404F"/>
    <w:rsid w:val="00A05488"/>
    <w:rsid w:val="00A12552"/>
    <w:rsid w:val="00A12558"/>
    <w:rsid w:val="00A222D6"/>
    <w:rsid w:val="00A22C44"/>
    <w:rsid w:val="00A2778B"/>
    <w:rsid w:val="00A43114"/>
    <w:rsid w:val="00A62C26"/>
    <w:rsid w:val="00A81343"/>
    <w:rsid w:val="00A813E6"/>
    <w:rsid w:val="00AA3CFF"/>
    <w:rsid w:val="00AB0245"/>
    <w:rsid w:val="00AB5B5A"/>
    <w:rsid w:val="00AC0043"/>
    <w:rsid w:val="00AC4BE2"/>
    <w:rsid w:val="00AC570A"/>
    <w:rsid w:val="00AC587B"/>
    <w:rsid w:val="00AC65F9"/>
    <w:rsid w:val="00AC7216"/>
    <w:rsid w:val="00AD0DFE"/>
    <w:rsid w:val="00AE5092"/>
    <w:rsid w:val="00B014AB"/>
    <w:rsid w:val="00B02A8B"/>
    <w:rsid w:val="00B04D21"/>
    <w:rsid w:val="00B07C12"/>
    <w:rsid w:val="00B17FF3"/>
    <w:rsid w:val="00B202BE"/>
    <w:rsid w:val="00B40D80"/>
    <w:rsid w:val="00B4618E"/>
    <w:rsid w:val="00B50768"/>
    <w:rsid w:val="00B6213C"/>
    <w:rsid w:val="00B65735"/>
    <w:rsid w:val="00B7790E"/>
    <w:rsid w:val="00BA3A2C"/>
    <w:rsid w:val="00BB3458"/>
    <w:rsid w:val="00BC1CF5"/>
    <w:rsid w:val="00BD2D18"/>
    <w:rsid w:val="00BD4BCE"/>
    <w:rsid w:val="00BD4F1E"/>
    <w:rsid w:val="00BF7E1C"/>
    <w:rsid w:val="00C0007F"/>
    <w:rsid w:val="00C25398"/>
    <w:rsid w:val="00C35242"/>
    <w:rsid w:val="00C464AF"/>
    <w:rsid w:val="00C663DB"/>
    <w:rsid w:val="00C74AAA"/>
    <w:rsid w:val="00C81A7C"/>
    <w:rsid w:val="00C84254"/>
    <w:rsid w:val="00C875B5"/>
    <w:rsid w:val="00C9329D"/>
    <w:rsid w:val="00C978D4"/>
    <w:rsid w:val="00CA28AD"/>
    <w:rsid w:val="00CB6088"/>
    <w:rsid w:val="00CD57D1"/>
    <w:rsid w:val="00CE65F5"/>
    <w:rsid w:val="00CF48CB"/>
    <w:rsid w:val="00CF4BBE"/>
    <w:rsid w:val="00D01CAD"/>
    <w:rsid w:val="00D029B8"/>
    <w:rsid w:val="00D03608"/>
    <w:rsid w:val="00D03715"/>
    <w:rsid w:val="00D05294"/>
    <w:rsid w:val="00D05A50"/>
    <w:rsid w:val="00D12F91"/>
    <w:rsid w:val="00D271CD"/>
    <w:rsid w:val="00D33834"/>
    <w:rsid w:val="00D37AE6"/>
    <w:rsid w:val="00D605C9"/>
    <w:rsid w:val="00D73F15"/>
    <w:rsid w:val="00D87AD9"/>
    <w:rsid w:val="00D97EE1"/>
    <w:rsid w:val="00DE1B81"/>
    <w:rsid w:val="00DE3F4B"/>
    <w:rsid w:val="00DE42BB"/>
    <w:rsid w:val="00DE573D"/>
    <w:rsid w:val="00DE6273"/>
    <w:rsid w:val="00E0649D"/>
    <w:rsid w:val="00E2302F"/>
    <w:rsid w:val="00E272E2"/>
    <w:rsid w:val="00E35530"/>
    <w:rsid w:val="00E41F49"/>
    <w:rsid w:val="00E45C2A"/>
    <w:rsid w:val="00E75EBF"/>
    <w:rsid w:val="00E87295"/>
    <w:rsid w:val="00EA0D04"/>
    <w:rsid w:val="00EA6F3D"/>
    <w:rsid w:val="00EC3C29"/>
    <w:rsid w:val="00ED77AD"/>
    <w:rsid w:val="00EE05A3"/>
    <w:rsid w:val="00EF0843"/>
    <w:rsid w:val="00EF19A2"/>
    <w:rsid w:val="00EF2763"/>
    <w:rsid w:val="00F154F9"/>
    <w:rsid w:val="00F1629D"/>
    <w:rsid w:val="00F25861"/>
    <w:rsid w:val="00F25E48"/>
    <w:rsid w:val="00F32BEF"/>
    <w:rsid w:val="00F55461"/>
    <w:rsid w:val="00F618A7"/>
    <w:rsid w:val="00F74EF4"/>
    <w:rsid w:val="00F802DF"/>
    <w:rsid w:val="00F81E06"/>
    <w:rsid w:val="00F90967"/>
    <w:rsid w:val="00FB731B"/>
    <w:rsid w:val="00FE4F7F"/>
    <w:rsid w:val="00FF38BB"/>
    <w:rsid w:val="15E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2AA4"/>
  <w15:docId w15:val="{F112D474-B738-4D2D-844E-361016B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31">
    <w:name w:val="toc 3"/>
    <w:basedOn w:val="a"/>
    <w:next w:val="a"/>
    <w:uiPriority w:val="39"/>
    <w:unhideWhenUsed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pPr>
      <w:spacing w:after="100"/>
      <w:ind w:left="2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TableGrid1">
    <w:name w:val="Table Grid1"/>
    <w:basedOn w:val="a1"/>
    <w:uiPriority w:val="59"/>
    <w:qFormat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E80E4-0926-4A30-A400-A1AB66FA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Алексей Бочуров</cp:lastModifiedBy>
  <cp:revision>3</cp:revision>
  <dcterms:created xsi:type="dcterms:W3CDTF">2023-04-25T03:13:00Z</dcterms:created>
  <dcterms:modified xsi:type="dcterms:W3CDTF">2023-04-25T06:29:00Z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